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B3E820" w14:textId="77777777" w:rsidR="00412541" w:rsidRDefault="00412541"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0D53CBA2"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6DBD1A33" w:rsidR="00F23FC9" w:rsidRPr="000F6082" w:rsidRDefault="00F23FC9" w:rsidP="00F23FC9">
      <w:pPr>
        <w:spacing w:before="240"/>
        <w:jc w:val="center"/>
        <w:rPr>
          <w:rFonts w:ascii="Arial" w:hAnsi="Arial" w:cs="Arial"/>
          <w:b/>
          <w:bCs/>
          <w:caps/>
          <w:color w:val="214F87"/>
          <w:sz w:val="44"/>
          <w:szCs w:val="44"/>
        </w:rPr>
      </w:pPr>
      <w:r w:rsidRPr="00587C04">
        <w:rPr>
          <w:rFonts w:ascii="Arial" w:hAnsi="Arial" w:cs="Arial"/>
          <w:b/>
          <w:bCs/>
          <w:caps/>
          <w:color w:val="214F87"/>
          <w:sz w:val="44"/>
          <w:szCs w:val="44"/>
        </w:rPr>
        <w:t xml:space="preserve">PŘÍLOHA </w:t>
      </w:r>
      <w:proofErr w:type="gramStart"/>
      <w:r w:rsidR="000F6082" w:rsidRPr="00587C04">
        <w:rPr>
          <w:rFonts w:ascii="Arial" w:hAnsi="Arial" w:cs="Arial"/>
          <w:b/>
          <w:bCs/>
          <w:caps/>
          <w:color w:val="214F87"/>
          <w:sz w:val="44"/>
          <w:szCs w:val="44"/>
        </w:rPr>
        <w:t>3</w:t>
      </w:r>
      <w:r w:rsidR="00587C04" w:rsidRPr="00587C04">
        <w:rPr>
          <w:rFonts w:ascii="Arial" w:hAnsi="Arial" w:cs="Arial"/>
          <w:b/>
          <w:bCs/>
          <w:caps/>
          <w:color w:val="214F87"/>
          <w:sz w:val="44"/>
          <w:szCs w:val="44"/>
        </w:rPr>
        <w:t>B</w:t>
      </w:r>
      <w:proofErr w:type="gramEnd"/>
    </w:p>
    <w:p w14:paraId="3D6858A4" w14:textId="1F0D592F" w:rsidR="0068431B" w:rsidRPr="000F6082" w:rsidRDefault="009E586F" w:rsidP="002F624E">
      <w:pPr>
        <w:spacing w:before="240" w:line="276" w:lineRule="auto"/>
        <w:jc w:val="center"/>
        <w:rPr>
          <w:rFonts w:ascii="Arial" w:hAnsi="Arial" w:cs="Arial"/>
          <w:b/>
          <w:color w:val="214F87"/>
          <w:sz w:val="44"/>
          <w:szCs w:val="44"/>
        </w:rPr>
      </w:pPr>
      <w:r>
        <w:rPr>
          <w:rFonts w:ascii="Arial" w:hAnsi="Arial" w:cs="Arial"/>
          <w:b/>
          <w:bCs/>
          <w:caps/>
          <w:color w:val="214F87"/>
          <w:sz w:val="44"/>
          <w:szCs w:val="44"/>
        </w:rPr>
        <w:t xml:space="preserve">PodMÍNKY </w:t>
      </w:r>
      <w:r w:rsidR="00F23FC9"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w:t>
      </w:r>
      <w:r w:rsidR="0068431B">
        <w:rPr>
          <w:rFonts w:ascii="Arial" w:hAnsi="Arial" w:cs="Arial"/>
          <w:b/>
          <w:bCs/>
          <w:caps/>
          <w:color w:val="214F87"/>
          <w:sz w:val="44"/>
          <w:szCs w:val="44"/>
        </w:rPr>
        <w:t>pro PO OSS</w:t>
      </w:r>
    </w:p>
    <w:p w14:paraId="3913D93F" w14:textId="096D489F" w:rsidR="00F077FA" w:rsidRDefault="00F077FA">
      <w:pPr>
        <w:pStyle w:val="Zkladnodstavec"/>
        <w:rPr>
          <w:rFonts w:ascii="Arial" w:hAnsi="Arial" w:cs="Arial"/>
          <w:b/>
          <w:bCs/>
          <w:caps/>
          <w:color w:val="214F87"/>
        </w:rPr>
      </w:pPr>
    </w:p>
    <w:p w14:paraId="43D30DBA" w14:textId="77777777" w:rsidR="00587C04" w:rsidRPr="003121F1" w:rsidRDefault="00587C04" w:rsidP="00587C04">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740C5B3C" w14:textId="77777777" w:rsidR="00587C04" w:rsidRDefault="00587C04" w:rsidP="00587C04">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62B7CC22" w:rsidR="000F6082" w:rsidRDefault="000F6082" w:rsidP="00587C04">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1C1DEB">
        <w:rPr>
          <w:rFonts w:ascii="Arial" w:hAnsi="Arial" w:cs="Arial"/>
          <w:caps/>
          <w:color w:val="7F7F7F" w:themeColor="text1" w:themeTint="80"/>
          <w:sz w:val="32"/>
          <w:szCs w:val="32"/>
        </w:rPr>
        <w:t>7</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21204D1" w:rsidR="0068431B" w:rsidRPr="0068431B" w:rsidRDefault="009405AD"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7FDF1C06"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9405AD">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7AC28A72"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nejpozději </w:t>
            </w:r>
            <w:bookmarkStart w:id="8" w:name="_Hlk97024462"/>
            <w:r w:rsidRPr="0034599D">
              <w:rPr>
                <w:rFonts w:ascii="Arial" w:hAnsi="Arial" w:cs="Arial"/>
                <w:snapToGrid w:val="0"/>
                <w:sz w:val="22"/>
                <w:szCs w:val="22"/>
              </w:rPr>
              <w:t xml:space="preserve">při podání závěrečné zprávy o realizaci projektu </w:t>
            </w:r>
            <w:bookmarkEnd w:id="8"/>
            <w:r w:rsidRPr="0034599D">
              <w:rPr>
                <w:rFonts w:ascii="Arial" w:hAnsi="Arial" w:cs="Arial"/>
                <w:snapToGrid w:val="0"/>
                <w:sz w:val="22"/>
                <w:szCs w:val="22"/>
              </w:rPr>
              <w:t>prokázat</w:t>
            </w:r>
            <w:r w:rsidR="0074213A" w:rsidRPr="0034599D">
              <w:rPr>
                <w:rFonts w:ascii="Arial" w:hAnsi="Arial" w:cs="Arial"/>
                <w:snapToGrid w:val="0"/>
                <w:sz w:val="22"/>
                <w:szCs w:val="22"/>
              </w:rPr>
              <w:t>,</w:t>
            </w:r>
            <w:r w:rsidRPr="0034599D">
              <w:rPr>
                <w:rFonts w:ascii="Arial" w:hAnsi="Arial" w:cs="Arial"/>
                <w:snapToGrid w:val="0"/>
                <w:sz w:val="22"/>
                <w:szCs w:val="22"/>
              </w:rPr>
              <w:t xml:space="preserve"> že indikátory </w:t>
            </w:r>
            <w:r w:rsidR="00A67B07" w:rsidRPr="0034599D">
              <w:rPr>
                <w:rFonts w:ascii="Arial" w:hAnsi="Arial" w:cs="Arial"/>
                <w:i/>
                <w:iCs/>
                <w:snapToGrid w:val="0"/>
                <w:sz w:val="22"/>
                <w:szCs w:val="22"/>
              </w:rPr>
              <w:t>I. – III.</w:t>
            </w:r>
            <w:r w:rsidR="00A67B07" w:rsidRPr="0034599D">
              <w:rPr>
                <w:rFonts w:ascii="Arial" w:hAnsi="Arial" w:cs="Arial"/>
                <w:snapToGrid w:val="0"/>
                <w:sz w:val="22"/>
                <w:szCs w:val="22"/>
              </w:rPr>
              <w:t xml:space="preserve"> </w:t>
            </w:r>
            <w:r w:rsidRPr="0034599D">
              <w:rPr>
                <w:rFonts w:ascii="Arial" w:hAnsi="Arial" w:cs="Arial"/>
                <w:snapToGrid w:val="0"/>
                <w:sz w:val="22"/>
                <w:szCs w:val="22"/>
              </w:rPr>
              <w:t>byly naplněny v termínu</w:t>
            </w:r>
            <w:r w:rsidR="00925C6E" w:rsidRPr="0034599D">
              <w:rPr>
                <w:rStyle w:val="Znakapoznpodarou"/>
                <w:rFonts w:ascii="Arial" w:hAnsi="Arial" w:cs="Arial"/>
                <w:snapToGrid w:val="0"/>
                <w:sz w:val="22"/>
                <w:szCs w:val="22"/>
              </w:rPr>
              <w:footnoteReference w:id="13"/>
            </w:r>
            <w:r w:rsidRPr="0034599D">
              <w:rPr>
                <w:rFonts w:ascii="Arial" w:hAnsi="Arial" w:cs="Arial"/>
                <w:snapToGrid w:val="0"/>
                <w:sz w:val="22"/>
                <w:szCs w:val="22"/>
              </w:rPr>
              <w:t xml:space="preserve"> a cílové hodnotě uvedené na Rozhodnutí / v MS2021+</w:t>
            </w:r>
            <w:r w:rsidRPr="0034599D">
              <w:rPr>
                <w:rStyle w:val="Znakapoznpodarou"/>
                <w:rFonts w:ascii="Arial" w:hAnsi="Arial" w:cs="Arial"/>
                <w:snapToGrid w:val="0"/>
                <w:sz w:val="22"/>
                <w:szCs w:val="22"/>
              </w:rPr>
              <w:footnoteReference w:id="14"/>
            </w:r>
            <w:r w:rsidRPr="0034599D">
              <w:rPr>
                <w:rFonts w:ascii="Arial" w:hAnsi="Arial" w:cs="Arial"/>
                <w:snapToGrid w:val="0"/>
                <w:sz w:val="22"/>
                <w:szCs w:val="22"/>
              </w:rPr>
              <w:t xml:space="preserve">. </w:t>
            </w:r>
          </w:p>
          <w:p w14:paraId="79F19E53" w14:textId="68455FEF"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Naplnění </w:t>
            </w:r>
            <w:r w:rsidR="0074213A" w:rsidRPr="0034599D">
              <w:rPr>
                <w:rFonts w:ascii="Arial" w:hAnsi="Arial" w:cs="Arial"/>
                <w:snapToGrid w:val="0"/>
                <w:sz w:val="22"/>
                <w:szCs w:val="22"/>
              </w:rPr>
              <w:t xml:space="preserve">cílové hodnoty </w:t>
            </w:r>
            <w:r w:rsidRPr="0034599D">
              <w:rPr>
                <w:rFonts w:ascii="Arial" w:hAnsi="Arial" w:cs="Arial"/>
                <w:snapToGrid w:val="0"/>
                <w:sz w:val="22"/>
                <w:szCs w:val="22"/>
              </w:rPr>
              <w:t xml:space="preserve">indikátoru </w:t>
            </w:r>
            <w:r w:rsidR="00A67B07" w:rsidRPr="0034599D">
              <w:rPr>
                <w:rFonts w:ascii="Arial" w:hAnsi="Arial" w:cs="Arial"/>
                <w:i/>
                <w:iCs/>
                <w:snapToGrid w:val="0"/>
                <w:sz w:val="22"/>
                <w:szCs w:val="22"/>
              </w:rPr>
              <w:t>IV</w:t>
            </w:r>
            <w:r w:rsidRPr="0034599D">
              <w:rPr>
                <w:rFonts w:ascii="Arial" w:hAnsi="Arial" w:cs="Arial"/>
                <w:i/>
                <w:iCs/>
                <w:snapToGrid w:val="0"/>
                <w:sz w:val="22"/>
                <w:szCs w:val="22"/>
              </w:rPr>
              <w:t>.</w:t>
            </w:r>
            <w:r w:rsidRPr="0034599D">
              <w:rPr>
                <w:rFonts w:ascii="Arial" w:hAnsi="Arial" w:cs="Arial"/>
                <w:snapToGrid w:val="0"/>
                <w:sz w:val="22"/>
                <w:szCs w:val="22"/>
              </w:rPr>
              <w:t xml:space="preserve"> uvedené v MS2021+ je příjemce povinen vykázat při podání první Zprávy o</w:t>
            </w:r>
            <w:r w:rsidR="00AB53F1" w:rsidRPr="0034599D">
              <w:rPr>
                <w:rFonts w:ascii="Arial" w:hAnsi="Arial" w:cs="Arial"/>
                <w:snapToGrid w:val="0"/>
                <w:sz w:val="22"/>
                <w:szCs w:val="22"/>
              </w:rPr>
              <w:t> </w:t>
            </w:r>
            <w:r w:rsidRPr="0034599D">
              <w:rPr>
                <w:rFonts w:ascii="Arial" w:hAnsi="Arial" w:cs="Arial"/>
                <w:snapToGrid w:val="0"/>
                <w:sz w:val="22"/>
                <w:szCs w:val="22"/>
              </w:rPr>
              <w:t xml:space="preserve">udržitelnosti projektu. </w:t>
            </w:r>
          </w:p>
          <w:p w14:paraId="4553DF32" w14:textId="77777777" w:rsidR="009132E6" w:rsidRPr="0034599D" w:rsidRDefault="009132E6" w:rsidP="008D3A9E">
            <w:pPr>
              <w:keepNext/>
              <w:spacing w:before="120" w:after="120" w:line="271" w:lineRule="auto"/>
              <w:jc w:val="both"/>
              <w:rPr>
                <w:rFonts w:ascii="Arial" w:hAnsi="Arial" w:cs="Arial"/>
                <w:snapToGrid w:val="0"/>
                <w:sz w:val="22"/>
                <w:szCs w:val="22"/>
              </w:rPr>
            </w:pPr>
            <w:r w:rsidRPr="0034599D">
              <w:rPr>
                <w:rFonts w:ascii="Arial" w:hAnsi="Arial" w:cs="Arial"/>
                <w:snapToGrid w:val="0"/>
                <w:sz w:val="22"/>
                <w:szCs w:val="22"/>
              </w:rPr>
              <w:lastRenderedPageBreak/>
              <w:t>Indikátory:</w:t>
            </w:r>
          </w:p>
          <w:p w14:paraId="287649FB"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578 061 - Podpořená pracoviště zdravotní péče a ochrany veřejného zdraví</w:t>
            </w:r>
          </w:p>
          <w:p w14:paraId="5D00FBB9"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560 201 - Kapacita nových nebo modernizovaných zdravotnických zařízení</w:t>
            </w:r>
          </w:p>
          <w:p w14:paraId="09C5C45F"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323 000 - Snížení konečné spotřeby energie u podpořených subjektů</w:t>
            </w:r>
          </w:p>
          <w:p w14:paraId="030B3407" w14:textId="77777777"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560 003 - Počet uživatelů nových nebo modernizovaných zdravotnických zařízení za rok</w:t>
            </w:r>
          </w:p>
          <w:p w14:paraId="5001E994"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p w14:paraId="746ABC43" w14:textId="77777777" w:rsidR="009132E6" w:rsidRPr="0034599D"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3A27EB21" w:rsidR="009132E6" w:rsidRPr="0034599D" w:rsidRDefault="00EB7FDB"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lastRenderedPageBreak/>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nenaplnění cílové hodnoty indikátorů</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0C678D"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9948B08" w14:textId="00395398"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0C678D" w:rsidRPr="0034599D">
              <w:rPr>
                <w:rFonts w:ascii="Arial" w:hAnsi="Arial" w:cs="Arial"/>
                <w:snapToGrid w:val="0"/>
                <w:sz w:val="22"/>
                <w:szCs w:val="22"/>
                <w:lang w:eastAsia="zh-CN" w:bidi="ar"/>
              </w:rPr>
              <w:t xml:space="preserve"> </w:t>
            </w:r>
            <w:r w:rsidR="00866C89" w:rsidRPr="0034599D">
              <w:rPr>
                <w:rFonts w:ascii="Arial" w:hAnsi="Arial" w:cs="Arial"/>
                <w:snapToGrid w:val="0"/>
                <w:sz w:val="22"/>
                <w:szCs w:val="22"/>
                <w:lang w:eastAsia="zh-CN" w:bidi="ar"/>
              </w:rPr>
              <w:t>indikátorů</w:t>
            </w:r>
            <w:r w:rsidRPr="0034599D">
              <w:rPr>
                <w:rFonts w:ascii="Arial" w:hAnsi="Arial" w:cs="Arial"/>
                <w:snapToGrid w:val="0"/>
                <w:sz w:val="22"/>
                <w:szCs w:val="22"/>
                <w:lang w:eastAsia="zh-CN" w:bidi="ar"/>
              </w:rPr>
              <w:t xml:space="preserve"> bez stanoveného tolerančního pásma (indikátor</w:t>
            </w:r>
            <w:r w:rsidR="00866C89"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bude stanovena finanční oprava </w:t>
            </w:r>
            <w:r w:rsidR="009132E6" w:rsidRPr="0034599D">
              <w:rPr>
                <w:rFonts w:ascii="Arial" w:hAnsi="Arial" w:cs="Arial"/>
                <w:snapToGrid w:val="0"/>
                <w:sz w:val="22"/>
                <w:szCs w:val="22"/>
                <w:lang w:eastAsia="zh-CN" w:bidi="ar"/>
              </w:rPr>
              <w:t>v poměrné výši zohledňující dosaženou hodnotu indikátoru</w:t>
            </w:r>
            <w:r w:rsidRPr="0034599D">
              <w:rPr>
                <w:rFonts w:ascii="Arial" w:hAnsi="Arial" w:cs="Arial"/>
                <w:snapToGrid w:val="0"/>
                <w:sz w:val="22"/>
                <w:szCs w:val="22"/>
                <w:lang w:eastAsia="zh-CN" w:bidi="ar"/>
              </w:rPr>
              <w:t xml:space="preserve"> k Rozhodnému datu a cílovou hodnotu indikátoru.</w:t>
            </w:r>
          </w:p>
          <w:p w14:paraId="02A69AF6" w14:textId="7074BE4C"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rPr>
            </w:pPr>
            <w:r w:rsidRPr="0034599D">
              <w:rPr>
                <w:rFonts w:ascii="Arial" w:hAnsi="Arial" w:cs="Arial"/>
                <w:snapToGrid w:val="0"/>
                <w:sz w:val="22"/>
                <w:szCs w:val="22"/>
                <w:lang w:eastAsia="zh-CN" w:bidi="ar"/>
              </w:rPr>
              <w:lastRenderedPageBreak/>
              <w:t>V ostatních případech bude finanční oprava stanovena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dosaženou hodnotu indikátoru k Rozhodnému datu a </w:t>
            </w:r>
            <w:r w:rsidR="009132E6" w:rsidRPr="0034599D">
              <w:rPr>
                <w:rFonts w:ascii="Arial" w:hAnsi="Arial" w:cs="Arial"/>
                <w:snapToGrid w:val="0"/>
                <w:sz w:val="22"/>
                <w:szCs w:val="22"/>
                <w:lang w:eastAsia="zh-CN" w:bidi="ar"/>
              </w:rPr>
              <w:t xml:space="preserve">minimální hranici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případě</w:t>
            </w:r>
            <w:r w:rsidR="009132E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kdy nedojde k naplnění cílové hodnoty u indikátoru:</w:t>
            </w:r>
            <w:r w:rsidR="009132E6" w:rsidRPr="0034599D">
              <w:rPr>
                <w:rFonts w:ascii="Arial" w:hAnsi="Arial" w:cs="Arial"/>
                <w:snapToGrid w:val="0"/>
                <w:sz w:val="22"/>
                <w:szCs w:val="22"/>
              </w:rPr>
              <w:t xml:space="preserve"> </w:t>
            </w:r>
          </w:p>
          <w:p w14:paraId="0DCC529A"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34599D">
              <w:rPr>
                <w:rFonts w:ascii="Arial" w:hAnsi="Arial" w:cs="Arial"/>
                <w:i/>
                <w:iCs/>
                <w:snapToGrid w:val="0"/>
                <w:sz w:val="22"/>
                <w:szCs w:val="22"/>
                <w:lang w:eastAsia="zh-CN" w:bidi="ar"/>
              </w:rPr>
              <w:t>II.</w:t>
            </w:r>
            <w:r w:rsidRPr="0034599D">
              <w:rPr>
                <w:rFonts w:ascii="Arial" w:hAnsi="Arial" w:cs="Arial"/>
                <w:snapToGrid w:val="0"/>
                <w:sz w:val="22"/>
                <w:szCs w:val="22"/>
                <w:lang w:eastAsia="zh-CN" w:bidi="ar"/>
              </w:rPr>
              <w:t xml:space="preserve"> na 90 % a více,</w:t>
            </w:r>
          </w:p>
          <w:p w14:paraId="728983C8"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34599D">
              <w:rPr>
                <w:rFonts w:ascii="Arial" w:hAnsi="Arial" w:cs="Arial"/>
                <w:i/>
                <w:iCs/>
                <w:snapToGrid w:val="0"/>
                <w:sz w:val="22"/>
                <w:szCs w:val="22"/>
                <w:lang w:eastAsia="zh-CN" w:bidi="ar"/>
              </w:rPr>
              <w:t xml:space="preserve">II. </w:t>
            </w:r>
            <w:r w:rsidRPr="0034599D">
              <w:rPr>
                <w:rFonts w:ascii="Arial" w:hAnsi="Arial" w:cs="Arial"/>
                <w:snapToGrid w:val="0"/>
                <w:sz w:val="22"/>
                <w:szCs w:val="22"/>
                <w:lang w:eastAsia="zh-CN" w:bidi="ar"/>
              </w:rPr>
              <w:t>na 95 % a více z rozdílu mezi výchozí a cílovou hodnotou,</w:t>
            </w:r>
          </w:p>
          <w:p w14:paraId="2091857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eastAsiaTheme="minorEastAsia" w:hAnsi="Arial" w:cs="Arial"/>
                <w:i/>
                <w:iCs/>
                <w:snapToGrid w:val="0"/>
                <w:sz w:val="22"/>
                <w:szCs w:val="22"/>
                <w:lang w:eastAsia="zh-CN" w:bidi="ar"/>
              </w:rPr>
              <w:t xml:space="preserve">. </w:t>
            </w:r>
            <w:r w:rsidRPr="0034599D">
              <w:rPr>
                <w:rFonts w:ascii="Arial" w:eastAsiaTheme="minorEastAsia" w:hAnsi="Arial" w:cs="Arial"/>
                <w:snapToGrid w:val="0"/>
                <w:sz w:val="22"/>
                <w:szCs w:val="22"/>
                <w:lang w:eastAsia="zh-CN" w:bidi="ar"/>
              </w:rPr>
              <w:t xml:space="preserve">za období </w:t>
            </w:r>
            <w:r w:rsidRPr="0034599D">
              <w:rPr>
                <w:rFonts w:ascii="Arial" w:eastAsiaTheme="minorEastAsia" w:hAnsi="Arial" w:cs="Arial"/>
                <w:sz w:val="22"/>
                <w:szCs w:val="22"/>
              </w:rPr>
              <w:t>prvního roku udržitelnosti</w:t>
            </w:r>
            <w:r w:rsidRPr="0034599D">
              <w:rPr>
                <w:rFonts w:ascii="Arial" w:eastAsiaTheme="minorEastAsia" w:hAnsi="Arial" w:cs="Arial"/>
                <w:snapToGrid w:val="0"/>
                <w:sz w:val="22"/>
                <w:szCs w:val="22"/>
                <w:lang w:eastAsia="zh-CN" w:bidi="ar"/>
              </w:rPr>
              <w:t xml:space="preserve"> na 70 % a více.</w:t>
            </w:r>
          </w:p>
          <w:p w14:paraId="408BDE7F" w14:textId="6E7BA759" w:rsidR="009132E6" w:rsidRPr="0034599D" w:rsidRDefault="009132E6" w:rsidP="0074213A">
            <w:pPr>
              <w:spacing w:before="120" w:after="120" w:line="271" w:lineRule="auto"/>
              <w:jc w:val="both"/>
              <w:rPr>
                <w:rFonts w:ascii="Arial" w:hAnsi="Arial" w:cs="Arial"/>
                <w:sz w:val="22"/>
                <w:szCs w:val="22"/>
              </w:rPr>
            </w:pPr>
            <w:r w:rsidRPr="0034599D">
              <w:rPr>
                <w:rFonts w:ascii="Arial" w:hAnsi="Arial" w:cs="Arial"/>
                <w:snapToGrid w:val="0"/>
                <w:sz w:val="22"/>
                <w:szCs w:val="22"/>
              </w:rPr>
              <w:t>Překročení</w:t>
            </w:r>
            <w:r w:rsidR="00925C6E" w:rsidRPr="0034599D">
              <w:rPr>
                <w:rStyle w:val="Znakapoznpodarou"/>
                <w:rFonts w:ascii="Arial" w:hAnsi="Arial" w:cs="Arial"/>
                <w:snapToGrid w:val="0"/>
                <w:sz w:val="22"/>
                <w:szCs w:val="22"/>
              </w:rPr>
              <w:footnoteReference w:id="15"/>
            </w:r>
            <w:r w:rsidRPr="0034599D">
              <w:rPr>
                <w:rFonts w:ascii="Arial" w:hAnsi="Arial" w:cs="Arial"/>
                <w:snapToGrid w:val="0"/>
                <w:sz w:val="22"/>
                <w:szCs w:val="22"/>
              </w:rPr>
              <w:t xml:space="preserve"> cílové hodnoty indikátorů nepodléhá finanční opravě</w:t>
            </w:r>
            <w:r w:rsidR="002F624E" w:rsidRPr="0034599D">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59122B">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lastRenderedPageBreak/>
              <w:t>Udržení indikátorů</w:t>
            </w:r>
          </w:p>
        </w:tc>
      </w:tr>
      <w:tr w:rsidR="009132E6" w:rsidRPr="00BF657C" w14:paraId="4B0E91EF" w14:textId="77777777" w:rsidTr="0059122B">
        <w:trPr>
          <w:trHeight w:val="1124"/>
        </w:trPr>
        <w:tc>
          <w:tcPr>
            <w:tcW w:w="4533" w:type="dxa"/>
          </w:tcPr>
          <w:p w14:paraId="1A11AAB3" w14:textId="0BEC2D61"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v době udržitelnosti </w:t>
            </w:r>
            <w:r w:rsidR="00EB7FDB" w:rsidRPr="0034599D">
              <w:rPr>
                <w:rFonts w:ascii="Arial" w:hAnsi="Arial" w:cs="Arial"/>
                <w:snapToGrid w:val="0"/>
                <w:sz w:val="22"/>
                <w:szCs w:val="22"/>
              </w:rPr>
              <w:t xml:space="preserve">přinejmenším zachovat výši uvedených indikátorů </w:t>
            </w:r>
            <w:r w:rsidR="00925C6E" w:rsidRPr="0034599D">
              <w:rPr>
                <w:rFonts w:ascii="Arial" w:hAnsi="Arial" w:cs="Arial"/>
                <w:snapToGrid w:val="0"/>
                <w:sz w:val="22"/>
                <w:szCs w:val="22"/>
              </w:rPr>
              <w:t>dosaženou k Rozhodnému datu</w:t>
            </w:r>
            <w:r w:rsidRPr="0034599D">
              <w:rPr>
                <w:rFonts w:ascii="Arial" w:hAnsi="Arial" w:cs="Arial"/>
                <w:snapToGrid w:val="0"/>
                <w:sz w:val="22"/>
                <w:szCs w:val="22"/>
              </w:rPr>
              <w:t>.</w:t>
            </w:r>
            <w:r w:rsidR="00EB7FDB" w:rsidRPr="0034599D">
              <w:rPr>
                <w:rStyle w:val="Znakapoznpodarou"/>
                <w:rFonts w:ascii="Arial" w:hAnsi="Arial" w:cs="Arial"/>
                <w:snapToGrid w:val="0"/>
                <w:sz w:val="22"/>
                <w:szCs w:val="22"/>
              </w:rPr>
              <w:footnoteReference w:id="16"/>
            </w:r>
          </w:p>
          <w:p w14:paraId="14AB43D3" w14:textId="77777777" w:rsidR="00277403" w:rsidRPr="0034599D" w:rsidRDefault="00277403" w:rsidP="00277403">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Indikátory:</w:t>
            </w:r>
          </w:p>
          <w:p w14:paraId="58210C90"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578 061 - Podpořená pracoviště zdravotní péče a ochrany veřejného zdraví</w:t>
            </w:r>
          </w:p>
          <w:p w14:paraId="06EBD40C"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560 201 - Kapacita nových nebo modernizovaných zdravotnických zařízení</w:t>
            </w:r>
          </w:p>
          <w:p w14:paraId="20327AC5"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323 000 - Snížení konečné spotřeby energie u podpořených subjektů</w:t>
            </w:r>
          </w:p>
          <w:p w14:paraId="4B9CAA10" w14:textId="77777777"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560 003 - Počet uživatelů nových nebo modernizovaných zdravotnických zařízení za rok</w:t>
            </w:r>
          </w:p>
          <w:p w14:paraId="2BA0D56F"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tc>
        <w:tc>
          <w:tcPr>
            <w:tcW w:w="4534" w:type="dxa"/>
          </w:tcPr>
          <w:p w14:paraId="641DC929" w14:textId="669F17C0" w:rsidR="009132E6" w:rsidRPr="0034599D" w:rsidRDefault="00A90CCF"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neudržení dosažené hodnoty indikátorů k Rozhodnému datu</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5BB193C" w14:textId="02DB2E18"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351B32" w:rsidRPr="0034599D">
              <w:rPr>
                <w:rFonts w:ascii="Arial" w:hAnsi="Arial" w:cs="Arial"/>
                <w:snapToGrid w:val="0"/>
                <w:sz w:val="22"/>
                <w:szCs w:val="22"/>
                <w:lang w:eastAsia="zh-CN" w:bidi="ar"/>
              </w:rPr>
              <w:t xml:space="preserve"> indikátorů</w:t>
            </w:r>
            <w:r w:rsidRPr="0034599D">
              <w:rPr>
                <w:rFonts w:ascii="Arial" w:hAnsi="Arial" w:cs="Arial"/>
                <w:snapToGrid w:val="0"/>
                <w:sz w:val="22"/>
                <w:szCs w:val="22"/>
                <w:lang w:eastAsia="zh-CN" w:bidi="ar"/>
              </w:rPr>
              <w:t>, u kterých došlo k aplikaci finanční opravy podle bodu 6</w:t>
            </w:r>
            <w:r w:rsidR="009B58A6" w:rsidRPr="0034599D">
              <w:rPr>
                <w:rFonts w:ascii="Arial" w:hAnsi="Arial" w:cs="Arial"/>
                <w:snapToGrid w:val="0"/>
                <w:sz w:val="22"/>
                <w:szCs w:val="22"/>
                <w:lang w:eastAsia="zh-CN" w:bidi="ar"/>
              </w:rPr>
              <w:t xml:space="preserve"> (vyjma indikátoru </w:t>
            </w:r>
            <w:r w:rsidR="0034599D" w:rsidRPr="0034599D">
              <w:rPr>
                <w:rFonts w:ascii="Arial" w:hAnsi="Arial" w:cs="Arial"/>
                <w:i/>
                <w:iCs/>
                <w:snapToGrid w:val="0"/>
                <w:sz w:val="22"/>
                <w:szCs w:val="22"/>
                <w:lang w:eastAsia="zh-CN" w:bidi="ar"/>
              </w:rPr>
              <w:t>IV.</w:t>
            </w:r>
            <w:r w:rsidR="009B58A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a</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u</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indikátorů bez stanoveného tolerančního pásma (indikátor</w:t>
            </w:r>
            <w:r w:rsidR="00351B32"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156CDA"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bude</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stanovena finanční oprava </w:t>
            </w:r>
            <w:r w:rsidR="009132E6" w:rsidRPr="0034599D">
              <w:rPr>
                <w:rFonts w:ascii="Arial" w:hAnsi="Arial" w:cs="Arial"/>
                <w:snapToGrid w:val="0"/>
                <w:sz w:val="22"/>
                <w:szCs w:val="22"/>
                <w:lang w:eastAsia="zh-CN" w:bidi="ar"/>
              </w:rPr>
              <w:t xml:space="preserve">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a</w:t>
            </w:r>
            <w:r w:rsidR="00DB2F10" w:rsidRPr="0034599D">
              <w:rPr>
                <w:rFonts w:ascii="Arial" w:hAnsi="Arial" w:cs="Arial"/>
                <w:snapToGrid w:val="0"/>
                <w:sz w:val="22"/>
                <w:szCs w:val="22"/>
                <w:lang w:eastAsia="zh-CN" w:bidi="ar"/>
              </w:rPr>
              <w:t> </w:t>
            </w:r>
            <w:r w:rsidR="00AB53F1" w:rsidRPr="0034599D">
              <w:rPr>
                <w:rFonts w:ascii="Arial" w:hAnsi="Arial" w:cs="Arial"/>
                <w:snapToGrid w:val="0"/>
                <w:sz w:val="22"/>
                <w:szCs w:val="22"/>
                <w:lang w:eastAsia="zh-CN" w:bidi="ar"/>
              </w:rPr>
              <w:t xml:space="preserve">dosaženou </w:t>
            </w:r>
            <w:r w:rsidR="009132E6" w:rsidRPr="0034599D">
              <w:rPr>
                <w:rFonts w:ascii="Arial" w:hAnsi="Arial" w:cs="Arial"/>
                <w:snapToGrid w:val="0"/>
                <w:sz w:val="22"/>
                <w:szCs w:val="22"/>
                <w:lang w:eastAsia="zh-CN" w:bidi="ar"/>
              </w:rPr>
              <w:t>hodnotu indikátoru</w:t>
            </w:r>
            <w:r w:rsidR="00925C6E" w:rsidRPr="0034599D">
              <w:rPr>
                <w:rFonts w:ascii="Arial" w:hAnsi="Arial" w:cs="Arial"/>
                <w:snapToGrid w:val="0"/>
                <w:sz w:val="22"/>
                <w:szCs w:val="22"/>
                <w:lang w:eastAsia="zh-CN" w:bidi="ar"/>
              </w:rPr>
              <w:t xml:space="preserve"> k Rozhodnému datu</w:t>
            </w:r>
            <w:r w:rsidRPr="0034599D">
              <w:rPr>
                <w:rFonts w:ascii="Arial" w:hAnsi="Arial" w:cs="Arial"/>
                <w:snapToGrid w:val="0"/>
                <w:sz w:val="22"/>
                <w:szCs w:val="22"/>
                <w:lang w:eastAsia="zh-CN" w:bidi="ar"/>
              </w:rPr>
              <w:t>.</w:t>
            </w:r>
          </w:p>
          <w:p w14:paraId="55C40FDA" w14:textId="5830E894"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 ostatních případech bude stanovena finanční oprava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a </w:t>
            </w:r>
            <w:r w:rsidR="009132E6" w:rsidRPr="0034599D">
              <w:rPr>
                <w:rFonts w:ascii="Arial" w:hAnsi="Arial" w:cs="Arial"/>
                <w:snapToGrid w:val="0"/>
                <w:sz w:val="22"/>
                <w:szCs w:val="22"/>
                <w:lang w:eastAsia="zh-CN" w:bidi="ar"/>
              </w:rPr>
              <w:t>minimální hranic</w:t>
            </w:r>
            <w:r w:rsidR="00925C6E" w:rsidRPr="0034599D">
              <w:rPr>
                <w:rFonts w:ascii="Arial" w:hAnsi="Arial" w:cs="Arial"/>
                <w:snapToGrid w:val="0"/>
                <w:sz w:val="22"/>
                <w:szCs w:val="22"/>
                <w:lang w:eastAsia="zh-CN" w:bidi="ar"/>
              </w:rPr>
              <w:t>i</w:t>
            </w:r>
            <w:r w:rsidR="009132E6" w:rsidRPr="0034599D">
              <w:rPr>
                <w:rFonts w:ascii="Arial" w:hAnsi="Arial" w:cs="Arial"/>
                <w:snapToGrid w:val="0"/>
                <w:sz w:val="22"/>
                <w:szCs w:val="22"/>
                <w:lang w:eastAsia="zh-CN" w:bidi="ar"/>
              </w:rPr>
              <w:t xml:space="preserve">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w:t>
            </w:r>
            <w:r w:rsidR="00DB2F10" w:rsidRPr="0034599D">
              <w:rPr>
                <w:rFonts w:ascii="Arial" w:hAnsi="Arial" w:cs="Arial"/>
                <w:snapToGrid w:val="0"/>
                <w:sz w:val="22"/>
                <w:szCs w:val="22"/>
                <w:lang w:eastAsia="zh-CN" w:bidi="ar"/>
              </w:rPr>
              <w:t>ě</w:t>
            </w:r>
            <w:r w:rsidRPr="0034599D">
              <w:rPr>
                <w:rFonts w:ascii="Arial" w:hAnsi="Arial" w:cs="Arial"/>
                <w:snapToGrid w:val="0"/>
                <w:sz w:val="22"/>
                <w:szCs w:val="22"/>
                <w:lang w:eastAsia="zh-CN" w:bidi="ar"/>
              </w:rPr>
              <w:t>, kdy nedojde k udržení u</w:t>
            </w:r>
            <w:r w:rsidR="00156CDA"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indikátoru:</w:t>
            </w:r>
            <w:r w:rsidR="009132E6" w:rsidRPr="0034599D">
              <w:rPr>
                <w:rFonts w:ascii="Arial" w:hAnsi="Arial" w:cs="Arial"/>
                <w:snapToGrid w:val="0"/>
                <w:sz w:val="22"/>
                <w:szCs w:val="22"/>
                <w:lang w:eastAsia="zh-CN" w:bidi="ar"/>
              </w:rPr>
              <w:t xml:space="preserve"> </w:t>
            </w:r>
          </w:p>
          <w:p w14:paraId="65D2EBB0"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w:t>
            </w:r>
            <w:r w:rsidRPr="0034599D">
              <w:rPr>
                <w:rFonts w:ascii="Arial" w:hAnsi="Arial" w:cs="Arial"/>
                <w:snapToGrid w:val="0"/>
                <w:sz w:val="22"/>
                <w:szCs w:val="22"/>
                <w:lang w:eastAsia="zh-CN" w:bidi="ar"/>
              </w:rPr>
              <w:t xml:space="preserve"> na 90 % cílové hodnoty a více.</w:t>
            </w:r>
          </w:p>
          <w:p w14:paraId="67A8B7F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III.</w:t>
            </w:r>
            <w:r w:rsidRPr="0034599D">
              <w:rPr>
                <w:rFonts w:ascii="Arial" w:hAnsi="Arial" w:cs="Arial"/>
                <w:snapToGrid w:val="0"/>
                <w:sz w:val="22"/>
                <w:szCs w:val="22"/>
                <w:lang w:eastAsia="zh-CN" w:bidi="ar"/>
              </w:rPr>
              <w:t xml:space="preserve"> na 95 % a více z rozdílu mezi výchozí a cílovou hodnotou,</w:t>
            </w:r>
          </w:p>
          <w:p w14:paraId="4EA5A62A"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hAnsi="Arial" w:cs="Arial"/>
                <w:snapToGrid w:val="0"/>
                <w:sz w:val="22"/>
                <w:szCs w:val="22"/>
                <w:lang w:eastAsia="zh-CN" w:bidi="ar"/>
              </w:rPr>
              <w:t xml:space="preserve"> na 70 % cílové hodnoty a více.</w:t>
            </w:r>
          </w:p>
          <w:p w14:paraId="43E47EA3" w14:textId="77777777" w:rsidR="0034599D" w:rsidRPr="0034599D" w:rsidRDefault="0034599D" w:rsidP="0034599D">
            <w:pPr>
              <w:spacing w:before="120" w:after="120" w:line="271" w:lineRule="auto"/>
              <w:jc w:val="both"/>
              <w:rPr>
                <w:rFonts w:ascii="Arial" w:hAnsi="Arial" w:cs="Arial"/>
                <w:sz w:val="22"/>
                <w:szCs w:val="22"/>
              </w:rPr>
            </w:pPr>
            <w:r w:rsidRPr="0034599D">
              <w:rPr>
                <w:rFonts w:ascii="Arial" w:hAnsi="Arial" w:cs="Arial"/>
                <w:sz w:val="22"/>
                <w:szCs w:val="22"/>
                <w:lang w:eastAsia="zh-CN" w:bidi="ar"/>
              </w:rPr>
              <w:t>Do vzorce výpočtu bude promítnuta délka zkoumaného období a bude zohledněna délka doby, po kterou příjemce indikátory neudržel.</w:t>
            </w:r>
            <w:r w:rsidRPr="0034599D">
              <w:rPr>
                <w:rFonts w:ascii="Arial" w:hAnsi="Arial" w:cs="Arial"/>
                <w:sz w:val="22"/>
                <w:szCs w:val="22"/>
              </w:rPr>
              <w:t xml:space="preserve"> </w:t>
            </w:r>
          </w:p>
          <w:p w14:paraId="2FDB03D7" w14:textId="77777777" w:rsidR="0034599D" w:rsidRPr="0034599D" w:rsidRDefault="0034599D" w:rsidP="0034599D">
            <w:pPr>
              <w:spacing w:before="120" w:after="120" w:line="271" w:lineRule="auto"/>
              <w:jc w:val="both"/>
              <w:rPr>
                <w:rFonts w:ascii="Arial" w:hAnsi="Arial" w:cs="Arial"/>
                <w:snapToGrid w:val="0"/>
                <w:sz w:val="22"/>
                <w:szCs w:val="22"/>
              </w:rPr>
            </w:pPr>
            <w:r w:rsidRPr="0034599D">
              <w:rPr>
                <w:rFonts w:ascii="Arial" w:hAnsi="Arial" w:cs="Arial"/>
                <w:snapToGrid w:val="0"/>
                <w:sz w:val="22"/>
                <w:szCs w:val="22"/>
              </w:rPr>
              <w:t>V případě indikátorů (</w:t>
            </w:r>
            <w:r w:rsidRPr="0034599D">
              <w:rPr>
                <w:rFonts w:ascii="Arial" w:hAnsi="Arial" w:cs="Arial"/>
                <w:i/>
                <w:iCs/>
                <w:snapToGrid w:val="0"/>
                <w:sz w:val="22"/>
                <w:szCs w:val="22"/>
              </w:rPr>
              <w:t>IV.</w:t>
            </w:r>
            <w:r w:rsidRPr="0034599D">
              <w:rPr>
                <w:rFonts w:ascii="Arial" w:hAnsi="Arial" w:cs="Arial"/>
                <w:snapToGrid w:val="0"/>
                <w:sz w:val="22"/>
                <w:szCs w:val="22"/>
              </w:rPr>
              <w:t>) naplňovaných za 1. rok udržitelnosti je jejich udržení zkoumáno až od 2. roku udržitelnosti a je postupováno vždy dle bodu b).</w:t>
            </w:r>
          </w:p>
          <w:p w14:paraId="52A97C33" w14:textId="52F4AB89" w:rsidR="009132E6" w:rsidRPr="0034599D" w:rsidRDefault="009132E6"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rPr>
              <w:lastRenderedPageBreak/>
              <w:t>Udržování vyšší</w:t>
            </w:r>
            <w:r w:rsidR="00263F6E" w:rsidRPr="0034599D">
              <w:rPr>
                <w:rStyle w:val="Znakapoznpodarou"/>
                <w:rFonts w:ascii="Arial" w:hAnsi="Arial" w:cs="Arial"/>
                <w:snapToGrid w:val="0"/>
                <w:sz w:val="22"/>
                <w:szCs w:val="22"/>
              </w:rPr>
              <w:footnoteReference w:id="17"/>
            </w:r>
            <w:r w:rsidRPr="0034599D">
              <w:rPr>
                <w:rFonts w:ascii="Arial" w:hAnsi="Arial" w:cs="Arial"/>
                <w:snapToGrid w:val="0"/>
                <w:sz w:val="22"/>
                <w:szCs w:val="22"/>
              </w:rPr>
              <w:t xml:space="preserve"> než cílové hodnoty či další zlepšení dosažené hodnoty</w:t>
            </w:r>
            <w:r w:rsidR="00925C6E" w:rsidRPr="0034599D">
              <w:rPr>
                <w:rFonts w:ascii="Arial" w:hAnsi="Arial" w:cs="Arial"/>
                <w:snapToGrid w:val="0"/>
                <w:sz w:val="22"/>
                <w:szCs w:val="22"/>
              </w:rPr>
              <w:t xml:space="preserve"> k Rozhodnému datu</w:t>
            </w:r>
            <w:r w:rsidRPr="0034599D">
              <w:rPr>
                <w:rFonts w:ascii="Arial" w:hAnsi="Arial" w:cs="Arial"/>
                <w:snapToGrid w:val="0"/>
                <w:sz w:val="22"/>
                <w:szCs w:val="22"/>
              </w:rPr>
              <w:t xml:space="preserve"> v době udržitelnosti nepodléhá finanční opravě.</w:t>
            </w:r>
            <w:r w:rsidRPr="0034599D">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08327AA6"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9405AD">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Pokud je v českých </w:t>
            </w:r>
            <w:r w:rsidRPr="00BF657C">
              <w:rPr>
                <w:rFonts w:ascii="Arial" w:hAnsi="Arial" w:cs="Arial"/>
                <w:snapToGrid w:val="0"/>
                <w:sz w:val="22"/>
                <w:szCs w:val="22"/>
              </w:rPr>
              <w:lastRenderedPageBreak/>
              <w:t>právních předpisech stanovena lhůta delší než v evropských předpisech, musí být použita pro úschovu delší lhůta.</w:t>
            </w:r>
          </w:p>
          <w:p w14:paraId="38AEF90C" w14:textId="6FA7A544"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lastRenderedPageBreak/>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 xml:space="preserve">ŘO </w:t>
            </w:r>
            <w:r w:rsidR="00292158" w:rsidRPr="002F624E">
              <w:rPr>
                <w:rFonts w:ascii="Arial" w:hAnsi="Arial" w:cs="Arial"/>
                <w:sz w:val="22"/>
                <w:szCs w:val="22"/>
              </w:rPr>
              <w:lastRenderedPageBreak/>
              <w:t>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ve stanovené lhůtě bude stanovena finanční </w:t>
            </w:r>
            <w:r w:rsidRPr="00BF657C">
              <w:rPr>
                <w:rFonts w:ascii="Arial" w:hAnsi="Arial" w:cs="Arial"/>
                <w:snapToGrid w:val="0"/>
                <w:sz w:val="22"/>
                <w:szCs w:val="22"/>
              </w:rPr>
              <w:lastRenderedPageBreak/>
              <w:t>oprava ve výši 0,1 % z celkové částky dotace uvedené v Rozhodnutí.</w:t>
            </w:r>
          </w:p>
        </w:tc>
      </w:tr>
      <w:tr w:rsidR="00BF3753" w:rsidRPr="00BF657C" w14:paraId="0BD1DE6E" w14:textId="77777777" w:rsidTr="00BF3753">
        <w:trPr>
          <w:trHeight w:val="410"/>
        </w:trPr>
        <w:tc>
          <w:tcPr>
            <w:tcW w:w="9067" w:type="dxa"/>
            <w:gridSpan w:val="2"/>
            <w:shd w:val="clear" w:color="auto" w:fill="D9D9D9" w:themeFill="background1" w:themeFillShade="D9"/>
          </w:tcPr>
          <w:p w14:paraId="08179593" w14:textId="11E0CA0B" w:rsidR="00BF3753" w:rsidRPr="00BF3753" w:rsidRDefault="00BF3753" w:rsidP="00BF3753">
            <w:pPr>
              <w:pStyle w:val="Odstavecseseznamem"/>
              <w:numPr>
                <w:ilvl w:val="0"/>
                <w:numId w:val="25"/>
              </w:numPr>
              <w:spacing w:before="120" w:after="120" w:line="271" w:lineRule="auto"/>
              <w:jc w:val="both"/>
              <w:rPr>
                <w:rFonts w:ascii="Arial" w:hAnsi="Arial" w:cs="Arial"/>
                <w:b/>
                <w:bCs/>
                <w:snapToGrid w:val="0"/>
                <w:sz w:val="22"/>
                <w:szCs w:val="22"/>
              </w:rPr>
            </w:pPr>
            <w:r w:rsidRPr="00BF3753">
              <w:rPr>
                <w:rFonts w:ascii="Arial" w:hAnsi="Arial" w:cs="Arial"/>
                <w:b/>
                <w:bCs/>
                <w:snapToGrid w:val="0"/>
                <w:sz w:val="22"/>
                <w:szCs w:val="22"/>
              </w:rPr>
              <w:lastRenderedPageBreak/>
              <w:t>Služby obecného hospodářského zájmu</w:t>
            </w:r>
          </w:p>
        </w:tc>
      </w:tr>
      <w:tr w:rsidR="00BF3753" w:rsidRPr="00BF657C" w14:paraId="1DA0A320" w14:textId="77777777" w:rsidTr="0059122B">
        <w:trPr>
          <w:trHeight w:val="410"/>
        </w:trPr>
        <w:tc>
          <w:tcPr>
            <w:tcW w:w="4533" w:type="dxa"/>
          </w:tcPr>
          <w:p w14:paraId="364025C4" w14:textId="77777777" w:rsidR="00BF3753" w:rsidRPr="00BF3753" w:rsidRDefault="00BF3753" w:rsidP="00BF3753">
            <w:pPr>
              <w:spacing w:line="264" w:lineRule="auto"/>
              <w:rPr>
                <w:rFonts w:ascii="Arial" w:hAnsi="Arial" w:cs="Arial"/>
                <w:snapToGrid w:val="0"/>
                <w:sz w:val="22"/>
                <w:szCs w:val="22"/>
              </w:rPr>
            </w:pPr>
            <w:r w:rsidRPr="00BF3753">
              <w:rPr>
                <w:rFonts w:ascii="Arial" w:hAnsi="Arial" w:cs="Arial"/>
                <w:snapToGrid w:val="0"/>
                <w:sz w:val="22"/>
                <w:szCs w:val="22"/>
              </w:rPr>
              <w:t xml:space="preserve">Poskytovatel služby musí být pověřen k výkonu služby obecného hospodářského zájmu v souladu s Rozhodnutím 2012/21/EU nejméně do konce doby životnosti projektu. </w:t>
            </w:r>
          </w:p>
          <w:p w14:paraId="3BA3F5E4" w14:textId="55F5B08F" w:rsidR="00BF3753" w:rsidRPr="00BF657C" w:rsidRDefault="00BF3753" w:rsidP="00BF3753">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Pokud bude poskytovatel služby pověřen více pověřovacími akty, je povinen zajistit jejich kontinuální návaznost.</w:t>
            </w:r>
          </w:p>
        </w:tc>
        <w:tc>
          <w:tcPr>
            <w:tcW w:w="4534" w:type="dxa"/>
          </w:tcPr>
          <w:p w14:paraId="1C1CF2F0" w14:textId="0164499F" w:rsidR="00BF3753" w:rsidRPr="00BF3753" w:rsidRDefault="00BF3753" w:rsidP="0042247B">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8CAD050"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dotace neprovede uložená opatření k nápravě nebo nevrátí dotaci nebo její část ve 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F3753">
        <w:rPr>
          <w:rFonts w:ascii="Arial" w:hAnsi="Arial" w:cs="Arial"/>
          <w:b/>
          <w:i/>
          <w:snapToGrid w:val="0"/>
          <w:sz w:val="22"/>
          <w:szCs w:val="22"/>
        </w:rPr>
        <w:t>Veřejná podpora</w:t>
      </w:r>
    </w:p>
    <w:p w14:paraId="5ECA5E3D" w14:textId="79787AEB" w:rsidR="00BF3753" w:rsidRPr="00BF3753" w:rsidRDefault="00BF3753" w:rsidP="00BF3753">
      <w:pPr>
        <w:numPr>
          <w:ilvl w:val="0"/>
          <w:numId w:val="36"/>
        </w:numPr>
        <w:spacing w:after="240"/>
        <w:jc w:val="both"/>
        <w:rPr>
          <w:rFonts w:ascii="Arial" w:hAnsi="Arial" w:cs="Arial"/>
          <w:snapToGrid w:val="0"/>
          <w:sz w:val="22"/>
          <w:szCs w:val="22"/>
        </w:rPr>
      </w:pPr>
      <w:r w:rsidRPr="00BF3753">
        <w:rPr>
          <w:rFonts w:ascii="Arial" w:hAnsi="Arial" w:cs="Arial"/>
          <w:snapToGrid w:val="0"/>
          <w:sz w:val="22"/>
          <w:szCs w:val="22"/>
        </w:rPr>
        <w:t>Dotace je udělena v souladu s Rozhodnutím Komise 2012/21/EU</w:t>
      </w:r>
      <w:r w:rsidRPr="00BF3753">
        <w:rPr>
          <w:rFonts w:ascii="Arial" w:hAnsi="Arial" w:cs="Arial"/>
          <w:snapToGrid w:val="0"/>
          <w:sz w:val="22"/>
          <w:szCs w:val="22"/>
        </w:rPr>
        <w:footnoteReference w:id="20"/>
      </w:r>
      <w:r w:rsidRPr="00BF3753">
        <w:rPr>
          <w:rFonts w:ascii="Arial" w:hAnsi="Arial" w:cs="Arial"/>
          <w:snapToGrid w:val="0"/>
          <w:sz w:val="22"/>
          <w:szCs w:val="22"/>
        </w:rPr>
        <w:t xml:space="preserve"> ze dne 20. prosince 2011 o použití čl. 106 odst. 2 S</w:t>
      </w:r>
      <w:r w:rsidR="00710435">
        <w:rPr>
          <w:rFonts w:ascii="Arial" w:hAnsi="Arial" w:cs="Arial"/>
          <w:snapToGrid w:val="0"/>
          <w:sz w:val="22"/>
          <w:szCs w:val="22"/>
        </w:rPr>
        <w:t xml:space="preserve">mlouvy o fungování Evropské unie </w:t>
      </w:r>
      <w:r w:rsidRPr="00BF3753">
        <w:rPr>
          <w:rFonts w:ascii="Arial" w:hAnsi="Arial" w:cs="Arial"/>
          <w:snapToGrid w:val="0"/>
          <w:sz w:val="22"/>
          <w:szCs w:val="22"/>
        </w:rPr>
        <w:t>na státní podporu ve formě vyrovnávací platby za závazek veřejné služby udělené určitým podnikům pověřeným poskytováním služeb obecného hospodářského zájmu (dále jen „SOHZ“).</w:t>
      </w:r>
    </w:p>
    <w:p w14:paraId="148E29FF"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 xml:space="preserve">Příjemce dotace musí být zároveň poskytovatelem SOHZ. Příjemce dotace jako poskytovatel SOHZ musí být pověřen k výkonu SOHZ v souladu s Rozhodnutím Komise 2012/21/EU po celou dobu životnosti investice. </w:t>
      </w:r>
    </w:p>
    <w:p w14:paraId="2CEDDB54"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3C03E821"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8547FE">
      <w:footerReference w:type="default" r:id="rId37"/>
      <w:headerReference w:type="first" r:id="rId38"/>
      <w:footerReference w:type="first" r:id="rId39"/>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2FF91" w14:textId="0D79A356" w:rsidR="00412541" w:rsidRDefault="00412541">
    <w:pPr>
      <w:pStyle w:val="Zpat"/>
    </w:pPr>
    <w:r>
      <w:rPr>
        <w:noProof/>
      </w:rPr>
      <w:drawing>
        <wp:anchor distT="0" distB="0" distL="114300" distR="114300" simplePos="0" relativeHeight="251661312" behindDoc="1" locked="1" layoutInCell="1" allowOverlap="1" wp14:anchorId="0E7BDEA8" wp14:editId="482FF1BF">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62EC61FF" w:rsidR="00D85842" w:rsidRPr="00BE7F31" w:rsidRDefault="00D85842">
            <w:pPr>
              <w:pStyle w:val="Zpat"/>
              <w:jc w:val="center"/>
              <w:rPr>
                <w:rFonts w:asciiTheme="minorHAnsi" w:hAnsiTheme="minorHAnsi" w:cstheme="minorHAnsi"/>
              </w:rPr>
            </w:pPr>
            <w:r w:rsidRPr="009405AD">
              <w:t xml:space="preserve">Stránka </w:t>
            </w:r>
            <w:r w:rsidRPr="009405AD">
              <w:fldChar w:fldCharType="begin"/>
            </w:r>
            <w:r w:rsidRPr="009405AD">
              <w:instrText>PAGE</w:instrText>
            </w:r>
            <w:r w:rsidRPr="009405AD">
              <w:fldChar w:fldCharType="separate"/>
            </w:r>
            <w:r w:rsidR="00292158" w:rsidRPr="009405AD">
              <w:t>17</w:t>
            </w:r>
            <w:r w:rsidRPr="009405AD">
              <w:fldChar w:fldCharType="end"/>
            </w:r>
            <w:r w:rsidRPr="009405AD">
              <w:t xml:space="preserve"> z </w:t>
            </w:r>
            <w:r w:rsidR="009405AD" w:rsidRPr="009405AD">
              <w:t>14</w:t>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9817516"/>
      <w:docPartObj>
        <w:docPartGallery w:val="Page Numbers (Bottom of Page)"/>
        <w:docPartUnique/>
      </w:docPartObj>
    </w:sdtPr>
    <w:sdtEndPr/>
    <w:sdtContent>
      <w:sdt>
        <w:sdtPr>
          <w:id w:val="1469093128"/>
          <w:docPartObj>
            <w:docPartGallery w:val="Page Numbers (Top of Page)"/>
            <w:docPartUnique/>
          </w:docPartObj>
        </w:sdtPr>
        <w:sdtEndPr/>
        <w:sdtContent>
          <w:p w14:paraId="5B608A35" w14:textId="019791DC" w:rsidR="009405AD" w:rsidRPr="009405AD" w:rsidRDefault="009405AD">
            <w:pPr>
              <w:pStyle w:val="Zpat"/>
              <w:jc w:val="center"/>
            </w:pPr>
            <w:r w:rsidRPr="009405AD">
              <w:t xml:space="preserve">Stránka </w:t>
            </w:r>
            <w:r w:rsidRPr="009405AD">
              <w:rPr>
                <w:sz w:val="24"/>
                <w:szCs w:val="24"/>
              </w:rPr>
              <w:fldChar w:fldCharType="begin"/>
            </w:r>
            <w:r w:rsidRPr="009405AD">
              <w:instrText>PAGE</w:instrText>
            </w:r>
            <w:r w:rsidRPr="009405AD">
              <w:rPr>
                <w:sz w:val="24"/>
                <w:szCs w:val="24"/>
              </w:rPr>
              <w:fldChar w:fldCharType="separate"/>
            </w:r>
            <w:r w:rsidRPr="009405AD">
              <w:t>2</w:t>
            </w:r>
            <w:r w:rsidRPr="009405AD">
              <w:rPr>
                <w:sz w:val="24"/>
                <w:szCs w:val="24"/>
              </w:rPr>
              <w:fldChar w:fldCharType="end"/>
            </w:r>
            <w:r w:rsidRPr="009405AD">
              <w:t xml:space="preserve"> z 1</w:t>
            </w:r>
            <w:r w:rsidRPr="009405AD">
              <w:rPr>
                <w:sz w:val="24"/>
                <w:szCs w:val="24"/>
              </w:rPr>
              <w:t>4</w:t>
            </w:r>
          </w:p>
        </w:sdtContent>
      </w:sdt>
    </w:sdtContent>
  </w:sdt>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054861AB"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7CECFFD1" w14:textId="77777777" w:rsidR="00BF3753" w:rsidRDefault="00BF3753" w:rsidP="00BF3753">
      <w:pPr>
        <w:pStyle w:val="Textpoznpodarou"/>
      </w:pPr>
      <w:r>
        <w:rPr>
          <w:rStyle w:val="Znakapoznpodarou"/>
        </w:rPr>
        <w:footnoteRef/>
      </w:r>
      <w:r>
        <w:t xml:space="preserve"> </w:t>
      </w:r>
      <w:proofErr w:type="spellStart"/>
      <w:r w:rsidRPr="00C306A3">
        <w:rPr>
          <w:rFonts w:asciiTheme="minorHAnsi" w:hAnsiTheme="minorHAnsi"/>
          <w:sz w:val="16"/>
          <w:szCs w:val="16"/>
        </w:rPr>
        <w:t>Úř</w:t>
      </w:r>
      <w:proofErr w:type="spellEnd"/>
      <w:r w:rsidRPr="00C306A3">
        <w:rPr>
          <w:rFonts w:asciiTheme="minorHAnsi" w:hAnsiTheme="minorHAnsi"/>
          <w:sz w:val="16"/>
          <w:szCs w:val="16"/>
        </w:rPr>
        <w:t xml:space="preserve">. </w:t>
      </w:r>
      <w:proofErr w:type="spellStart"/>
      <w:r w:rsidRPr="00C306A3">
        <w:rPr>
          <w:rFonts w:asciiTheme="minorHAnsi" w:hAnsiTheme="minorHAnsi"/>
          <w:sz w:val="16"/>
          <w:szCs w:val="16"/>
        </w:rPr>
        <w:t>věst</w:t>
      </w:r>
      <w:proofErr w:type="spellEnd"/>
      <w:r w:rsidRPr="00C306A3">
        <w:rPr>
          <w:rFonts w:asciiTheme="minorHAnsi" w:hAnsiTheme="minorHAnsi"/>
          <w:sz w:val="16"/>
          <w:szCs w:val="16"/>
        </w:rPr>
        <w: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4C864" w14:textId="520114B4" w:rsidR="00412541" w:rsidRDefault="00412541">
    <w:pPr>
      <w:pStyle w:val="Zhlav"/>
    </w:pPr>
    <w:r>
      <w:rPr>
        <w:noProof/>
      </w:rPr>
      <w:drawing>
        <wp:anchor distT="0" distB="0" distL="114300" distR="114300" simplePos="0" relativeHeight="251659264" behindDoc="1" locked="1" layoutInCell="1" allowOverlap="1" wp14:anchorId="0E842FA9" wp14:editId="6592E4D5">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0B6D3" w14:textId="36133180" w:rsidR="00412541" w:rsidRPr="00412541" w:rsidRDefault="00412541" w:rsidP="0041254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0577E0E"/>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E1A299B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6"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3"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487553045">
    <w:abstractNumId w:val="20"/>
  </w:num>
  <w:num w:numId="2" w16cid:durableId="485391419">
    <w:abstractNumId w:val="29"/>
  </w:num>
  <w:num w:numId="3" w16cid:durableId="1467241182">
    <w:abstractNumId w:val="3"/>
  </w:num>
  <w:num w:numId="4" w16cid:durableId="1837375925">
    <w:abstractNumId w:val="8"/>
  </w:num>
  <w:num w:numId="5" w16cid:durableId="923297563">
    <w:abstractNumId w:val="13"/>
  </w:num>
  <w:num w:numId="6" w16cid:durableId="1774737795">
    <w:abstractNumId w:val="19"/>
  </w:num>
  <w:num w:numId="7" w16cid:durableId="1483153048">
    <w:abstractNumId w:val="7"/>
  </w:num>
  <w:num w:numId="8" w16cid:durableId="2044355235">
    <w:abstractNumId w:val="25"/>
  </w:num>
  <w:num w:numId="9" w16cid:durableId="1562903972">
    <w:abstractNumId w:val="32"/>
  </w:num>
  <w:num w:numId="10" w16cid:durableId="1136727387">
    <w:abstractNumId w:val="28"/>
  </w:num>
  <w:num w:numId="11" w16cid:durableId="1572617781">
    <w:abstractNumId w:val="9"/>
  </w:num>
  <w:num w:numId="12" w16cid:durableId="1243367014">
    <w:abstractNumId w:val="11"/>
  </w:num>
  <w:num w:numId="13" w16cid:durableId="516506674">
    <w:abstractNumId w:val="35"/>
  </w:num>
  <w:num w:numId="14" w16cid:durableId="1031759319">
    <w:abstractNumId w:val="30"/>
  </w:num>
  <w:num w:numId="15" w16cid:durableId="927349267">
    <w:abstractNumId w:val="14"/>
  </w:num>
  <w:num w:numId="16" w16cid:durableId="901600466">
    <w:abstractNumId w:val="21"/>
  </w:num>
  <w:num w:numId="17" w16cid:durableId="1987319516">
    <w:abstractNumId w:val="5"/>
  </w:num>
  <w:num w:numId="18" w16cid:durableId="370308554">
    <w:abstractNumId w:val="16"/>
  </w:num>
  <w:num w:numId="19" w16cid:durableId="693075133">
    <w:abstractNumId w:val="6"/>
  </w:num>
  <w:num w:numId="20" w16cid:durableId="716397420">
    <w:abstractNumId w:val="17"/>
  </w:num>
  <w:num w:numId="21" w16cid:durableId="635717790">
    <w:abstractNumId w:val="18"/>
  </w:num>
  <w:num w:numId="22" w16cid:durableId="1204563586">
    <w:abstractNumId w:val="15"/>
  </w:num>
  <w:num w:numId="23" w16cid:durableId="652025971">
    <w:abstractNumId w:val="24"/>
  </w:num>
  <w:num w:numId="24" w16cid:durableId="817920224">
    <w:abstractNumId w:val="4"/>
  </w:num>
  <w:num w:numId="25" w16cid:durableId="1723215575">
    <w:abstractNumId w:val="1"/>
  </w:num>
  <w:num w:numId="26" w16cid:durableId="1291353250">
    <w:abstractNumId w:val="27"/>
  </w:num>
  <w:num w:numId="27" w16cid:durableId="1715931392">
    <w:abstractNumId w:val="22"/>
  </w:num>
  <w:num w:numId="28" w16cid:durableId="1411853451">
    <w:abstractNumId w:val="10"/>
  </w:num>
  <w:num w:numId="29" w16cid:durableId="996762179">
    <w:abstractNumId w:val="26"/>
  </w:num>
  <w:num w:numId="30" w16cid:durableId="378431692">
    <w:abstractNumId w:val="33"/>
  </w:num>
  <w:num w:numId="31" w16cid:durableId="1622033764">
    <w:abstractNumId w:val="23"/>
  </w:num>
  <w:num w:numId="32" w16cid:durableId="66391507">
    <w:abstractNumId w:val="0"/>
  </w:num>
  <w:num w:numId="33" w16cid:durableId="1338771592">
    <w:abstractNumId w:val="12"/>
  </w:num>
  <w:num w:numId="34" w16cid:durableId="33628015">
    <w:abstractNumId w:val="31"/>
  </w:num>
  <w:num w:numId="35" w16cid:durableId="1900749826">
    <w:abstractNumId w:val="2"/>
  </w:num>
  <w:num w:numId="36" w16cid:durableId="1512063139">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1073"/>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1DEB"/>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2E"/>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B0B"/>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7F"/>
    <w:rsid w:val="00305484"/>
    <w:rsid w:val="00305945"/>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599D"/>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541"/>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6D6"/>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04"/>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435"/>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47FE"/>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59"/>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5AD"/>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315"/>
    <w:rsid w:val="00A045B1"/>
    <w:rsid w:val="00A04E71"/>
    <w:rsid w:val="00A052C7"/>
    <w:rsid w:val="00A05BEB"/>
    <w:rsid w:val="00A06994"/>
    <w:rsid w:val="00A06BAE"/>
    <w:rsid w:val="00A10483"/>
    <w:rsid w:val="00A1057C"/>
    <w:rsid w:val="00A10DD9"/>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753"/>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A78"/>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E4E"/>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A2D"/>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1073"/>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mso-contentType ?>
<FormTemplates xmlns="http://schemas.microsoft.com/sharepoint/v3/contenttype/forms">
  <Display>DocumentLibraryForm</Display>
  <Edit>DocumentLibraryForm</Edit>
  <New>DocumentLibraryForm</New>
</FormTemplates>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1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1.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12.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13.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4.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5.xml><?xml version="1.0" encoding="utf-8"?>
<ds:datastoreItem xmlns:ds="http://schemas.openxmlformats.org/officeDocument/2006/customXml" ds:itemID="{08B42341-60B5-4A2F-A7AD-AE7F385ECB62}">
  <ds:schemaRefs>
    <ds:schemaRef ds:uri="http://schemas.openxmlformats.org/officeDocument/2006/bibliography"/>
  </ds:schemaRefs>
</ds:datastoreItem>
</file>

<file path=customXml/itemProps16.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17.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18.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19.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2.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0.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21.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22.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23.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24.xml><?xml version="1.0" encoding="utf-8"?>
<ds:datastoreItem xmlns:ds="http://schemas.openxmlformats.org/officeDocument/2006/customXml" ds:itemID="{23038799-F964-4701-A94D-B3DAA47B5CF0}">
  <ds:schemaRefs>
    <ds:schemaRef ds:uri="http://schemas.openxmlformats.org/officeDocument/2006/bibliography"/>
  </ds:schemaRefs>
</ds:datastoreItem>
</file>

<file path=customXml/itemProps25.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26.xml><?xml version="1.0" encoding="utf-8"?>
<ds:datastoreItem xmlns:ds="http://schemas.openxmlformats.org/officeDocument/2006/customXml" ds:itemID="{72573033-3A9F-47F2-BF1B-228D3117A24A}">
  <ds:schemaRefs>
    <ds:schemaRef ds:uri="http://schemas.openxmlformats.org/officeDocument/2006/bibliography"/>
  </ds:schemaRefs>
</ds:datastoreItem>
</file>

<file path=customXml/itemProps3.xml><?xml version="1.0" encoding="utf-8"?>
<ds:datastoreItem xmlns:ds="http://schemas.openxmlformats.org/officeDocument/2006/customXml" ds:itemID="{CF1E9BBD-AFF9-469F-AD8E-E421941CA09F}">
  <ds:schemaRefs>
    <ds:schemaRef ds:uri="http://schemas.openxmlformats.org/officeDocument/2006/bibliography"/>
  </ds:schemaRefs>
</ds:datastoreItem>
</file>

<file path=customXml/itemProps4.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7.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8.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9.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15</Pages>
  <Words>3901</Words>
  <Characters>22435</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22</cp:revision>
  <cp:lastPrinted>2022-07-27T10:25:00Z</cp:lastPrinted>
  <dcterms:created xsi:type="dcterms:W3CDTF">2022-08-23T09:34:00Z</dcterms:created>
  <dcterms:modified xsi:type="dcterms:W3CDTF">2026-05-07T09:39:00Z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